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B088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AD2B89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8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 w:rsidR="00DA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8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  <w:r w:rsidR="00DA03CE" w:rsidRPr="00E27975">
        <w:rPr>
          <w:rFonts w:ascii="Times New Roman" w:hAnsi="Times New Roman" w:cs="Times New Roman"/>
          <w:sz w:val="28"/>
          <w:szCs w:val="28"/>
        </w:rPr>
        <w:t>«</w:t>
      </w:r>
      <w:r w:rsidR="006C252B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DA03CE" w:rsidRPr="00E27975">
        <w:rPr>
          <w:rFonts w:ascii="Times New Roman" w:hAnsi="Times New Roman" w:cs="Times New Roman"/>
          <w:sz w:val="28"/>
          <w:szCs w:val="28"/>
        </w:rPr>
        <w:t>»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hAnsi="Times New Roman" w:cs="Times New Roman"/>
          <w:sz w:val="28"/>
          <w:szCs w:val="28"/>
        </w:rPr>
        <w:t xml:space="preserve"> 201</w:t>
      </w:r>
      <w:r w:rsidR="00BB0883">
        <w:rPr>
          <w:rFonts w:ascii="Times New Roman" w:hAnsi="Times New Roman" w:cs="Times New Roman"/>
          <w:sz w:val="28"/>
          <w:szCs w:val="28"/>
        </w:rPr>
        <w:t>4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6C252B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C252B">
        <w:rPr>
          <w:rFonts w:ascii="Times New Roman" w:hAnsi="Times New Roman" w:cs="Times New Roman"/>
        </w:rPr>
        <w:lastRenderedPageBreak/>
        <w:t xml:space="preserve">Задания для самостоятельной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</w:t>
      </w:r>
      <w:r w:rsidR="00DA03CE" w:rsidRPr="006C252B">
        <w:rPr>
          <w:rFonts w:ascii="Times New Roman" w:hAnsi="Times New Roman" w:cs="Times New Roman"/>
        </w:rPr>
        <w:t>«</w:t>
      </w:r>
      <w:r w:rsidR="006C252B" w:rsidRPr="006C252B">
        <w:rPr>
          <w:rFonts w:ascii="Times New Roman" w:hAnsi="Times New Roman"/>
        </w:rPr>
        <w:t>Техническое обслуживание и ремонт автомобильного транспорта</w:t>
      </w:r>
      <w:r w:rsidR="00DA03CE" w:rsidRPr="006C252B">
        <w:rPr>
          <w:rFonts w:ascii="Times New Roman" w:hAnsi="Times New Roman" w:cs="Times New Roman"/>
        </w:rPr>
        <w:t>»</w:t>
      </w:r>
      <w:r w:rsidRPr="006C252B">
        <w:rPr>
          <w:rFonts w:ascii="Times New Roman" w:hAnsi="Times New Roman" w:cs="Times New Roman"/>
        </w:rPr>
        <w:t>, базовой подготовки, программы учебной дисциплины «Основы философии»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B0452" w:rsidRPr="00E27975" w:rsidTr="00563D9D">
        <w:trPr>
          <w:cantSplit/>
          <w:trHeight w:val="4667"/>
        </w:trPr>
        <w:tc>
          <w:tcPr>
            <w:tcW w:w="5637" w:type="dxa"/>
          </w:tcPr>
          <w:p w:rsidR="000B0452" w:rsidRPr="00E27975" w:rsidRDefault="000B0452" w:rsidP="00563D9D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 Л.Г. Семенова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________________ В.И. Овсянн</w:t>
            </w:r>
            <w:r w:rsidR="00737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="00BB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B0452" w:rsidRPr="00E27975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F95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Программа дисциплины «Основы философии» предназначена для подготовки специалистов среднего профессионального образования.</w:t>
      </w:r>
    </w:p>
    <w:p w:rsidR="00D270ED" w:rsidRPr="00F95AAB" w:rsidRDefault="00AD6582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Примерная программа учебной дисциплины</w:t>
      </w:r>
      <w:r w:rsidR="00DA03CE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разработан на основе федеральных государственных образовательных стандартов (далее – ФГОС) по специальностям среднего профессионального образования    базовой подготовки</w:t>
      </w:r>
      <w:r w:rsid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D270ED" w:rsidRPr="00F95AAB">
        <w:rPr>
          <w:rFonts w:ascii="Times New Roman" w:hAnsi="Times New Roman" w:cs="Times New Roman"/>
          <w:sz w:val="28"/>
          <w:szCs w:val="28"/>
        </w:rPr>
        <w:t xml:space="preserve"> </w:t>
      </w:r>
      <w:r w:rsidR="00DA03CE" w:rsidRPr="00E27975">
        <w:rPr>
          <w:rFonts w:ascii="Times New Roman" w:hAnsi="Times New Roman" w:cs="Times New Roman"/>
          <w:sz w:val="28"/>
          <w:szCs w:val="28"/>
        </w:rPr>
        <w:t>«</w:t>
      </w:r>
      <w:r w:rsidR="00C228C6" w:rsidRPr="00C228C6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DA03CE" w:rsidRPr="00E27975">
        <w:rPr>
          <w:rFonts w:ascii="Times New Roman" w:hAnsi="Times New Roman" w:cs="Times New Roman"/>
          <w:sz w:val="28"/>
          <w:szCs w:val="28"/>
        </w:rPr>
        <w:t>»</w:t>
      </w:r>
      <w:r w:rsidR="00D270ED" w:rsidRPr="00F95AAB">
        <w:rPr>
          <w:rFonts w:ascii="Times New Roman" w:hAnsi="Times New Roman" w:cs="Times New Roman"/>
          <w:sz w:val="28"/>
          <w:szCs w:val="28"/>
        </w:rPr>
        <w:t>.</w:t>
      </w:r>
    </w:p>
    <w:p w:rsidR="008E3A75" w:rsidRPr="00F95AAB" w:rsidRDefault="00A51297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повысить общую культуру, грамотность в сфере гуманитарного и социально-политического знания </w:t>
      </w:r>
      <w:r w:rsidR="00994936" w:rsidRPr="00F95AA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сознания;о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обучающихся:</w:t>
      </w:r>
    </w:p>
    <w:p w:rsidR="00994936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с/р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обучающимся.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с/р преподаватель проводит консультации по графику.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С/р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с/р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с/р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А4(297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>TimesNewRoman.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-2см, нижнее 2см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правое-1,5см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lastRenderedPageBreak/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BB0883">
      <w:pPr>
        <w:pStyle w:val="a3"/>
        <w:ind w:right="4"/>
        <w:jc w:val="both"/>
        <w:rPr>
          <w:b/>
          <w:bCs/>
          <w:sz w:val="28"/>
          <w:szCs w:val="28"/>
        </w:rPr>
      </w:pPr>
    </w:p>
    <w:p w:rsidR="00884B37" w:rsidRPr="00F95AAB" w:rsidRDefault="00884B37" w:rsidP="00BB0883">
      <w:pPr>
        <w:pStyle w:val="a3"/>
        <w:ind w:right="4"/>
        <w:jc w:val="both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конспекта выбирается в соответствии с вариантом задания.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6A54D4" w:rsidRPr="00F95AAB" w:rsidRDefault="006A54D4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884B37" w:rsidRPr="00F95AAB" w:rsidRDefault="00884B37" w:rsidP="00BB0883">
      <w:pPr>
        <w:pStyle w:val="a3"/>
        <w:ind w:left="24" w:right="4"/>
        <w:jc w:val="both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Для реализации этой цели необходимо научить обучающихся</w:t>
      </w:r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Для обучающихся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>обучающимся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>вать различные источники знаний: 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результатоввнеаудиторной самостоятельной работы обучающихся  являются: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уровень усвоения обучающимся учебного материала;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</w:p>
    <w:p w:rsidR="00686BCF" w:rsidRPr="00F95AAB" w:rsidRDefault="00E15D9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соответствии с требованиями учебного заведения.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Оценка знаний и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Отметка «3»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Понятие мировоззрения, мироощущение и мировосприятие.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формы  мировоззрений: мифология, религия, философия.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Три способа видения мира: рациональный, эмоционально-нравственный и основанный на вере.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Натурфилософия античности и медицина: Гиппократ.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Систематизация медицинского знания в учении Галена.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модели моральной медицины: модель Парацельса.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Арабо-мусульманской философии средневековья. Авиценна.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Классический психоанализ З. Фрейда.</w:t>
      </w:r>
    </w:p>
    <w:p w:rsidR="00D270ED" w:rsidRPr="00F95AAB" w:rsidRDefault="00D270ED" w:rsidP="00F95AAB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В.Ф. Войно-Ясенецкий (архиепископ Лука) и его р</w:t>
      </w:r>
      <w:r w:rsidR="00F95AAB" w:rsidRPr="00F95AAB">
        <w:rPr>
          <w:rFonts w:ascii="Times New Roman" w:hAnsi="Times New Roman" w:cs="Times New Roman"/>
          <w:sz w:val="28"/>
          <w:szCs w:val="28"/>
        </w:rPr>
        <w:t>абота «Очерки гнойной хирургии»</w:t>
      </w:r>
    </w:p>
    <w:p w:rsidR="00D270ED" w:rsidRPr="00F95AAB" w:rsidRDefault="00D270ED" w:rsidP="00F95AAB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Кохановский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кл.: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Ильенков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Чанышев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Антропономия.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Барулин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Бромлей Ю.В. Этносоциальные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Гадамер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Гулыга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Здравомыслов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Методология человековедения.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Ильенков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Крывелев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Кутырев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Лосский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Мамардашвили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Межуев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Минюшев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Моль А. Социодинамика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Нэсбит Д., Эбурдин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Ортега-и-Гассет.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Основы конфликтологии.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Проблема первоначала мира в науке и теологии. – Спб.,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Реймерс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Руткевич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В.П. Кохановского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Франкл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Хесле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Чанышев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учебное пособие для  ВУЗов под редакцией В.П. Кохановского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хрестоматия/ сост.В.Б. Рожковский,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Яковлевой. – Москва: ТК  Велби,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А.Ф. Малышевский. Введение  в  философию. 10 – 11 кл.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О.Н. Стрельник.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Юрайт – Издат,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Учеб.пособие для пед.училищ. М.,         Гуманит.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D0" w:rsidRDefault="009D2CD0" w:rsidP="00D0185D">
      <w:pPr>
        <w:spacing w:after="0" w:line="240" w:lineRule="auto"/>
      </w:pPr>
      <w:r>
        <w:separator/>
      </w:r>
    </w:p>
  </w:endnote>
  <w:endnote w:type="continuationSeparator" w:id="1">
    <w:p w:rsidR="009D2CD0" w:rsidRDefault="009D2CD0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AD2B89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AD2B89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8C6">
      <w:rPr>
        <w:rStyle w:val="a7"/>
        <w:noProof/>
      </w:rPr>
      <w:t>3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D0" w:rsidRDefault="009D2CD0" w:rsidP="00D0185D">
      <w:pPr>
        <w:spacing w:after="0" w:line="240" w:lineRule="auto"/>
      </w:pPr>
      <w:r>
        <w:separator/>
      </w:r>
    </w:p>
  </w:footnote>
  <w:footnote w:type="continuationSeparator" w:id="1">
    <w:p w:rsidR="009D2CD0" w:rsidRDefault="009D2CD0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AD2B89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AD2B89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8C6">
      <w:rPr>
        <w:rStyle w:val="a7"/>
        <w:noProof/>
      </w:rPr>
      <w:t>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70E"/>
    <w:rsid w:val="00000011"/>
    <w:rsid w:val="00003D62"/>
    <w:rsid w:val="000215DE"/>
    <w:rsid w:val="000240C6"/>
    <w:rsid w:val="000404F3"/>
    <w:rsid w:val="000456B7"/>
    <w:rsid w:val="00057040"/>
    <w:rsid w:val="00057D30"/>
    <w:rsid w:val="0008663D"/>
    <w:rsid w:val="000A1F41"/>
    <w:rsid w:val="000B0452"/>
    <w:rsid w:val="000E240D"/>
    <w:rsid w:val="000E2E30"/>
    <w:rsid w:val="001010F6"/>
    <w:rsid w:val="00131DAD"/>
    <w:rsid w:val="001358B0"/>
    <w:rsid w:val="001369F4"/>
    <w:rsid w:val="00167157"/>
    <w:rsid w:val="0018318F"/>
    <w:rsid w:val="001E5A32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3113F4"/>
    <w:rsid w:val="003417E8"/>
    <w:rsid w:val="00346456"/>
    <w:rsid w:val="00356004"/>
    <w:rsid w:val="003661C7"/>
    <w:rsid w:val="00371209"/>
    <w:rsid w:val="0037396C"/>
    <w:rsid w:val="0038231B"/>
    <w:rsid w:val="003B3CA0"/>
    <w:rsid w:val="003B5B8E"/>
    <w:rsid w:val="003B6CC9"/>
    <w:rsid w:val="004103A1"/>
    <w:rsid w:val="00414F0B"/>
    <w:rsid w:val="004204CC"/>
    <w:rsid w:val="00482BA4"/>
    <w:rsid w:val="004C5428"/>
    <w:rsid w:val="004E5BE7"/>
    <w:rsid w:val="00523A34"/>
    <w:rsid w:val="0052741F"/>
    <w:rsid w:val="005459F2"/>
    <w:rsid w:val="00557823"/>
    <w:rsid w:val="005579D2"/>
    <w:rsid w:val="00560B66"/>
    <w:rsid w:val="005767DD"/>
    <w:rsid w:val="005A62CB"/>
    <w:rsid w:val="005A6ECA"/>
    <w:rsid w:val="005E34D1"/>
    <w:rsid w:val="005F46CF"/>
    <w:rsid w:val="00604885"/>
    <w:rsid w:val="00647769"/>
    <w:rsid w:val="006654D5"/>
    <w:rsid w:val="00686BCF"/>
    <w:rsid w:val="00696092"/>
    <w:rsid w:val="006A3036"/>
    <w:rsid w:val="006A47E0"/>
    <w:rsid w:val="006A54D4"/>
    <w:rsid w:val="006C1233"/>
    <w:rsid w:val="006C252B"/>
    <w:rsid w:val="006C2D8A"/>
    <w:rsid w:val="006C7E16"/>
    <w:rsid w:val="006E7E4C"/>
    <w:rsid w:val="006F1779"/>
    <w:rsid w:val="00705699"/>
    <w:rsid w:val="007321A2"/>
    <w:rsid w:val="007352A5"/>
    <w:rsid w:val="00737D6B"/>
    <w:rsid w:val="00785563"/>
    <w:rsid w:val="00790D84"/>
    <w:rsid w:val="007936CC"/>
    <w:rsid w:val="007A7736"/>
    <w:rsid w:val="007B021C"/>
    <w:rsid w:val="007F2522"/>
    <w:rsid w:val="007F2EC5"/>
    <w:rsid w:val="007F5B8C"/>
    <w:rsid w:val="00815FC0"/>
    <w:rsid w:val="00857818"/>
    <w:rsid w:val="00871315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156E5"/>
    <w:rsid w:val="0095161C"/>
    <w:rsid w:val="0095224A"/>
    <w:rsid w:val="00965FCE"/>
    <w:rsid w:val="009752A8"/>
    <w:rsid w:val="00980457"/>
    <w:rsid w:val="0099039F"/>
    <w:rsid w:val="00990D8D"/>
    <w:rsid w:val="00994936"/>
    <w:rsid w:val="00995C6C"/>
    <w:rsid w:val="009C1E22"/>
    <w:rsid w:val="009C6B87"/>
    <w:rsid w:val="009D18D3"/>
    <w:rsid w:val="009D1985"/>
    <w:rsid w:val="009D2CD0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2B89"/>
    <w:rsid w:val="00AD35F4"/>
    <w:rsid w:val="00AD5121"/>
    <w:rsid w:val="00AD6582"/>
    <w:rsid w:val="00AE0ADC"/>
    <w:rsid w:val="00AE1886"/>
    <w:rsid w:val="00B43BCB"/>
    <w:rsid w:val="00B548E8"/>
    <w:rsid w:val="00B85FF0"/>
    <w:rsid w:val="00B91F0E"/>
    <w:rsid w:val="00BA7A6B"/>
    <w:rsid w:val="00BB0883"/>
    <w:rsid w:val="00BF5D73"/>
    <w:rsid w:val="00C11D7B"/>
    <w:rsid w:val="00C228C6"/>
    <w:rsid w:val="00C47CF5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14C24"/>
    <w:rsid w:val="00D270ED"/>
    <w:rsid w:val="00D42901"/>
    <w:rsid w:val="00D6127F"/>
    <w:rsid w:val="00D672F1"/>
    <w:rsid w:val="00D72EBE"/>
    <w:rsid w:val="00D77EE4"/>
    <w:rsid w:val="00D84D28"/>
    <w:rsid w:val="00D874FA"/>
    <w:rsid w:val="00D94E04"/>
    <w:rsid w:val="00D969B0"/>
    <w:rsid w:val="00DA03CE"/>
    <w:rsid w:val="00DA71A2"/>
    <w:rsid w:val="00DB0AAF"/>
    <w:rsid w:val="00DD45E4"/>
    <w:rsid w:val="00DF2D15"/>
    <w:rsid w:val="00DF78CC"/>
    <w:rsid w:val="00E01D96"/>
    <w:rsid w:val="00E15D96"/>
    <w:rsid w:val="00E5198F"/>
    <w:rsid w:val="00E64A84"/>
    <w:rsid w:val="00E81BDB"/>
    <w:rsid w:val="00EA30DF"/>
    <w:rsid w:val="00ED0828"/>
    <w:rsid w:val="00ED4EC5"/>
    <w:rsid w:val="00EE5609"/>
    <w:rsid w:val="00F063ED"/>
    <w:rsid w:val="00F0755E"/>
    <w:rsid w:val="00F13B75"/>
    <w:rsid w:val="00F47085"/>
    <w:rsid w:val="00F51E58"/>
    <w:rsid w:val="00F57A87"/>
    <w:rsid w:val="00F81C35"/>
    <w:rsid w:val="00F84EFD"/>
    <w:rsid w:val="00F95AAB"/>
    <w:rsid w:val="00FA7297"/>
    <w:rsid w:val="00FE767B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7559-7900-4872-BAD5-A554CBD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Таьяна</cp:lastModifiedBy>
  <cp:revision>14</cp:revision>
  <cp:lastPrinted>2017-03-07T05:02:00Z</cp:lastPrinted>
  <dcterms:created xsi:type="dcterms:W3CDTF">2014-03-10T09:32:00Z</dcterms:created>
  <dcterms:modified xsi:type="dcterms:W3CDTF">2017-03-07T05:02:00Z</dcterms:modified>
</cp:coreProperties>
</file>